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152B" w14:textId="77777777" w:rsidR="00D07D16" w:rsidRPr="00D07D16" w:rsidRDefault="00D07D16" w:rsidP="00D07D16">
      <w:r w:rsidRPr="00D07D16">
        <w:rPr>
          <w:b/>
          <w:bCs/>
        </w:rPr>
        <w:t>File 1 — Article</w:t>
      </w:r>
      <w:r w:rsidRPr="00D07D16">
        <w:t> (for the structured-summary prompt)</w:t>
      </w:r>
    </w:p>
    <w:p w14:paraId="0B79D550" w14:textId="77777777" w:rsidR="00D07D16" w:rsidRPr="00D07D16" w:rsidRDefault="00D07D16" w:rsidP="00D07D16">
      <w:r w:rsidRPr="00D07D16">
        <w:rPr>
          <w:b/>
          <w:bCs/>
        </w:rPr>
        <w:t>Regional Retailers Accelerate AI Adoption Despite Skills Gap</w:t>
      </w:r>
    </w:p>
    <w:p w14:paraId="5BF90480" w14:textId="77777777" w:rsidR="00D07D16" w:rsidRPr="00D07D16" w:rsidRDefault="00D07D16" w:rsidP="00D07D16">
      <w:r w:rsidRPr="00D07D16">
        <w:rPr>
          <w:i/>
          <w:iCs/>
        </w:rPr>
        <w:t>Business Weekly — March 2026</w:t>
      </w:r>
    </w:p>
    <w:p w14:paraId="7B2E834E" w14:textId="77777777" w:rsidR="00D07D16" w:rsidRPr="00D07D16" w:rsidRDefault="00D07D16" w:rsidP="00D07D16">
      <w:r w:rsidRPr="00D07D16">
        <w:t>A survey of 450 mid-sized retailers across the Middle East and North Africa found that 62% now use generative AI tools in at least one business function, up from 24% a year earlier. Customer service leads adoption, with chatbots handling an average of 38% of inbound queries, followed by marketing copywriting and inventory forecasting.</w:t>
      </w:r>
    </w:p>
    <w:p w14:paraId="42703B40" w14:textId="77777777" w:rsidR="00D07D16" w:rsidRPr="00D07D16" w:rsidRDefault="00D07D16" w:rsidP="00D07D16">
      <w:r w:rsidRPr="00D07D16">
        <w:t>The financial impact is becoming measurable. Respondents reported an average 11% reduction in customer-response times and estimated annual savings of $140,000 per company, driven mainly by automating routine correspondence and first-draft content production.</w:t>
      </w:r>
    </w:p>
    <w:p w14:paraId="669DE016" w14:textId="77777777" w:rsidR="00D07D16" w:rsidRPr="00D07D16" w:rsidRDefault="00D07D16" w:rsidP="00D07D16">
      <w:r w:rsidRPr="00D07D16">
        <w:t>However, the survey exposed a widening skills gap. Only 18% of companies said their staff had received formal training in prompt writing or AI tool governance, and 41% admitted employees were using free consumer accounts for work data — raising confidentiality concerns. Three companies in the survey reported customer data being pasted into public AI tools in violation of their own privacy policies.</w:t>
      </w:r>
    </w:p>
    <w:p w14:paraId="51AAA407" w14:textId="77777777" w:rsidR="00D07D16" w:rsidRPr="00D07D16" w:rsidRDefault="00D07D16" w:rsidP="00D07D16">
      <w:r w:rsidRPr="00D07D16">
        <w:t xml:space="preserve">Analysts warn that without structured training and clear usage </w:t>
      </w:r>
      <w:proofErr w:type="gramStart"/>
      <w:r w:rsidRPr="00D07D16">
        <w:t>policies,</w:t>
      </w:r>
      <w:proofErr w:type="gramEnd"/>
      <w:r w:rsidRPr="00D07D16">
        <w:t xml:space="preserve"> early productivity gains could be offset by compliance incidents. The report recommends that firms appoint an internal AI champion, adopt enterprise-grade accounts, and train at least half of office staff in effective prompting within the next 12 months.</w:t>
      </w:r>
    </w:p>
    <w:p w14:paraId="4705A3BA" w14:textId="77777777" w:rsidR="0073701A" w:rsidRDefault="0073701A"/>
    <w:sectPr w:rsidR="00737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16"/>
    <w:rsid w:val="0000297B"/>
    <w:rsid w:val="0073701A"/>
    <w:rsid w:val="00A539E6"/>
    <w:rsid w:val="00D0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B4505"/>
  <w15:chartTrackingRefBased/>
  <w15:docId w15:val="{42608D2F-5D07-487D-836F-117E1144B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7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7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7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7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D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D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D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D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D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D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D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D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D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D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1207</Characters>
  <Application>Microsoft Office Word</Application>
  <DocSecurity>0</DocSecurity>
  <Lines>201</Lines>
  <Paragraphs>209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 Sfeir</dc:creator>
  <cp:keywords/>
  <dc:description/>
  <cp:lastModifiedBy>Naji Sfeir</cp:lastModifiedBy>
  <cp:revision>1</cp:revision>
  <dcterms:created xsi:type="dcterms:W3CDTF">2026-07-09T12:08:00Z</dcterms:created>
  <dcterms:modified xsi:type="dcterms:W3CDTF">2026-07-09T12:09:00Z</dcterms:modified>
</cp:coreProperties>
</file>